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仿宋" w:hAnsi="仿宋" w:eastAsia="仿宋" w:cs="仿宋"/>
        </w:rPr>
      </w:pPr>
      <w:r>
        <w:rPr>
          <w:rFonts w:hint="eastAsia" w:ascii="仿宋" w:hAnsi="仿宋" w:eastAsia="仿宋" w:cs="仿宋"/>
          <w:color w:val="auto"/>
          <w:sz w:val="44"/>
          <w:szCs w:val="44"/>
        </w:rPr>
        <w:t>招标公告</w:t>
      </w:r>
    </w:p>
    <w:p>
      <w:pPr>
        <w:pStyle w:val="7"/>
        <w:numPr>
          <w:ilvl w:val="0"/>
          <w:numId w:val="1"/>
        </w:numPr>
        <w:adjustRightInd w:val="0"/>
        <w:snapToGrid w:val="0"/>
        <w:spacing w:line="360" w:lineRule="exact"/>
        <w:ind w:firstLineChars="0"/>
        <w:contextualSpacing/>
        <w:rPr>
          <w:rFonts w:hint="eastAsia" w:ascii="仿宋" w:hAnsi="仿宋" w:eastAsia="仿宋" w:cs="仿宋"/>
          <w:b/>
          <w:color w:val="auto"/>
          <w:sz w:val="24"/>
        </w:rPr>
      </w:pPr>
      <w:bookmarkStart w:id="0" w:name="_Toc222126081"/>
      <w:bookmarkEnd w:id="0"/>
      <w:bookmarkStart w:id="1" w:name="_Toc222126078"/>
      <w:bookmarkEnd w:id="1"/>
      <w:bookmarkStart w:id="2" w:name="_Toc222126077"/>
      <w:bookmarkEnd w:id="2"/>
      <w:bookmarkStart w:id="3" w:name="_Toc222126082"/>
      <w:bookmarkEnd w:id="3"/>
      <w:bookmarkStart w:id="4" w:name="_Toc222126080"/>
      <w:bookmarkEnd w:id="4"/>
      <w:bookmarkStart w:id="5" w:name="_Toc222126085"/>
      <w:bookmarkEnd w:id="5"/>
      <w:bookmarkStart w:id="6" w:name="_Toc222126083"/>
      <w:bookmarkEnd w:id="6"/>
      <w:r>
        <w:rPr>
          <w:rFonts w:hint="eastAsia" w:ascii="仿宋" w:hAnsi="仿宋" w:eastAsia="仿宋" w:cs="仿宋"/>
          <w:b/>
          <w:color w:val="auto"/>
          <w:sz w:val="24"/>
        </w:rPr>
        <w:t>项目概况</w:t>
      </w:r>
    </w:p>
    <w:p>
      <w:pPr>
        <w:pStyle w:val="7"/>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项目编号：HG JY-G2024035</w:t>
      </w:r>
    </w:p>
    <w:p>
      <w:pPr>
        <w:pStyle w:val="7"/>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lang w:val="en-US" w:eastAsia="zh-CN"/>
        </w:rPr>
        <w:t>衡管能源审计</w:t>
      </w:r>
      <w:r>
        <w:rPr>
          <w:rFonts w:hint="eastAsia" w:ascii="仿宋" w:hAnsi="仿宋" w:eastAsia="仿宋" w:cs="仿宋"/>
          <w:color w:val="auto"/>
          <w:sz w:val="24"/>
        </w:rPr>
        <w:t>服务项目</w:t>
      </w:r>
    </w:p>
    <w:p>
      <w:pPr>
        <w:pStyle w:val="7"/>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合同</w:t>
      </w:r>
      <w:r>
        <w:rPr>
          <w:rFonts w:hint="eastAsia" w:ascii="仿宋" w:hAnsi="仿宋" w:eastAsia="仿宋" w:cs="仿宋"/>
          <w:color w:val="auto"/>
          <w:sz w:val="24"/>
          <w:lang w:eastAsia="zh-CN"/>
        </w:rPr>
        <w:t>类型</w:t>
      </w:r>
      <w:r>
        <w:rPr>
          <w:rFonts w:hint="eastAsia" w:ascii="仿宋" w:hAnsi="仿宋" w:eastAsia="仿宋" w:cs="仿宋"/>
          <w:color w:val="auto"/>
          <w:sz w:val="24"/>
        </w:rPr>
        <w:t xml:space="preserve">: </w:t>
      </w:r>
      <w:r>
        <w:rPr>
          <w:rFonts w:hint="eastAsia" w:ascii="仿宋" w:hAnsi="仿宋" w:eastAsia="仿宋" w:cs="仿宋"/>
          <w:color w:val="auto"/>
          <w:sz w:val="24"/>
          <w:lang w:eastAsia="zh-CN"/>
        </w:rPr>
        <w:t>固定总价</w:t>
      </w:r>
      <w:r>
        <w:rPr>
          <w:rFonts w:hint="eastAsia" w:ascii="仿宋" w:hAnsi="仿宋" w:eastAsia="仿宋" w:cs="仿宋"/>
          <w:color w:val="auto"/>
          <w:sz w:val="24"/>
        </w:rPr>
        <w:t>合同</w:t>
      </w:r>
    </w:p>
    <w:p>
      <w:pPr>
        <w:pStyle w:val="7"/>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项目内容：</w:t>
      </w:r>
    </w:p>
    <w:p>
      <w:pPr>
        <w:keepNext w:val="0"/>
        <w:keepLines w:val="0"/>
        <w:pageBreakBefore w:val="0"/>
        <w:widowControl w:val="0"/>
        <w:kinsoku/>
        <w:wordWrap/>
        <w:overflowPunct/>
        <w:topLinePunct w:val="0"/>
        <w:autoSpaceDE/>
        <w:autoSpaceDN/>
        <w:bidi w:val="0"/>
        <w:adjustRightInd/>
        <w:snapToGrid/>
        <w:spacing w:line="360" w:lineRule="exact"/>
        <w:ind w:left="903" w:leftChars="430" w:firstLine="0" w:firstLineChars="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按照国家法律、法规等相关要求投标人为招标人编2021,2022,2023年度能源审计报告，并按照市发改委提出的审核意见进一步优化整改措施和要求。并取得政府主管部门的验收批复和评估意见。</w:t>
      </w:r>
    </w:p>
    <w:p>
      <w:pPr>
        <w:pStyle w:val="7"/>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地点：</w:t>
      </w:r>
      <w:r>
        <w:rPr>
          <w:rFonts w:hint="eastAsia" w:ascii="仿宋" w:hAnsi="仿宋" w:eastAsia="仿宋" w:cs="仿宋"/>
          <w:color w:val="auto"/>
          <w:sz w:val="24"/>
          <w:lang w:eastAsia="zh-CN"/>
        </w:rPr>
        <w:t>衡阳华菱钢管有限公司</w:t>
      </w:r>
      <w:r>
        <w:rPr>
          <w:rFonts w:hint="eastAsia" w:ascii="仿宋" w:hAnsi="仿宋" w:eastAsia="仿宋" w:cs="仿宋"/>
          <w:color w:val="auto"/>
          <w:sz w:val="24"/>
        </w:rPr>
        <w:t>范围内。</w:t>
      </w:r>
    </w:p>
    <w:p>
      <w:pPr>
        <w:pStyle w:val="7"/>
        <w:numPr>
          <w:ilvl w:val="1"/>
          <w:numId w:val="1"/>
        </w:numPr>
        <w:adjustRightInd w:val="0"/>
        <w:snapToGrid w:val="0"/>
        <w:spacing w:line="360" w:lineRule="exact"/>
        <w:ind w:firstLineChars="0"/>
        <w:contextualSpacing/>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完成时间：</w:t>
      </w:r>
    </w:p>
    <w:p>
      <w:pPr>
        <w:keepNext w:val="0"/>
        <w:keepLines w:val="0"/>
        <w:pageBreakBefore w:val="0"/>
        <w:widowControl w:val="0"/>
        <w:kinsoku/>
        <w:wordWrap/>
        <w:overflowPunct/>
        <w:topLinePunct w:val="0"/>
        <w:autoSpaceDE/>
        <w:autoSpaceDN/>
        <w:bidi w:val="0"/>
        <w:adjustRightInd/>
        <w:snapToGrid/>
        <w:spacing w:line="360" w:lineRule="exact"/>
        <w:ind w:left="903" w:leftChars="430" w:firstLine="0" w:firstLineChars="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中标通知书下达后18日（日历天）内完成报告编制。中标通知书下达后12天内按发改委文件要求完成审计初稿与招标方交流，6天完成报告编制（提交纸质版及电子版报告），并送发改委审核。根据发改委反馈意见和要求，及时完成补充优化后，提交纸质版及电子版成果。</w:t>
      </w:r>
    </w:p>
    <w:p>
      <w:pPr>
        <w:pStyle w:val="7"/>
        <w:numPr>
          <w:ilvl w:val="0"/>
          <w:numId w:val="1"/>
        </w:numPr>
        <w:adjustRightInd w:val="0"/>
        <w:snapToGrid w:val="0"/>
        <w:spacing w:line="360" w:lineRule="exact"/>
        <w:ind w:left="2582" w:hanging="2582" w:firstLineChars="0"/>
        <w:contextualSpacing/>
        <w:rPr>
          <w:rFonts w:hint="eastAsia" w:ascii="仿宋" w:hAnsi="仿宋" w:eastAsia="仿宋" w:cs="仿宋"/>
          <w:b/>
          <w:color w:val="auto"/>
          <w:sz w:val="24"/>
        </w:rPr>
      </w:pPr>
      <w:r>
        <w:rPr>
          <w:rFonts w:hint="eastAsia" w:ascii="仿宋" w:hAnsi="仿宋" w:eastAsia="仿宋" w:cs="仿宋"/>
          <w:b/>
          <w:color w:val="auto"/>
          <w:sz w:val="24"/>
        </w:rPr>
        <w:t>投标人资格要求</w:t>
      </w:r>
    </w:p>
    <w:p>
      <w:pPr>
        <w:pStyle w:val="3"/>
        <w:numPr>
          <w:ilvl w:val="1"/>
          <w:numId w:val="1"/>
        </w:numPr>
        <w:spacing w:after="0" w:line="400" w:lineRule="exact"/>
        <w:rPr>
          <w:rFonts w:hint="eastAsia" w:ascii="仿宋" w:hAnsi="仿宋" w:eastAsia="仿宋" w:cs="仿宋"/>
          <w:color w:val="auto"/>
          <w:sz w:val="24"/>
        </w:rPr>
      </w:pPr>
      <w:r>
        <w:rPr>
          <w:rFonts w:hint="eastAsia" w:ascii="仿宋" w:hAnsi="仿宋" w:eastAsia="仿宋" w:cs="仿宋"/>
          <w:color w:val="000000" w:themeColor="text1"/>
          <w:sz w:val="24"/>
          <w:szCs w:val="24"/>
          <w14:textFill>
            <w14:solidFill>
              <w14:schemeClr w14:val="tx1"/>
            </w14:solidFill>
          </w14:textFill>
        </w:rPr>
        <w:t>具备独立法人资格并依法取得企业营业执照，营业执照处于有效期内。</w:t>
      </w:r>
    </w:p>
    <w:p>
      <w:pPr>
        <w:pStyle w:val="3"/>
        <w:numPr>
          <w:ilvl w:val="1"/>
          <w:numId w:val="1"/>
        </w:numPr>
        <w:spacing w:after="0" w:line="400" w:lineRule="exact"/>
        <w:rPr>
          <w:rFonts w:hint="eastAsia" w:ascii="仿宋" w:hAnsi="仿宋" w:eastAsia="仿宋" w:cs="仿宋"/>
          <w:color w:val="auto"/>
          <w:sz w:val="24"/>
          <w:highlight w:val="none"/>
        </w:rPr>
      </w:pPr>
      <w:r>
        <w:rPr>
          <w:rFonts w:hint="eastAsia" w:ascii="仿宋" w:hAnsi="仿宋" w:eastAsia="仿宋" w:cs="仿宋"/>
          <w:color w:val="000000" w:themeColor="text1"/>
          <w:spacing w:val="-4"/>
          <w:sz w:val="24"/>
          <w:szCs w:val="24"/>
          <w:highlight w:val="none"/>
          <w14:textFill>
            <w14:solidFill>
              <w14:schemeClr w14:val="tx1"/>
            </w14:solidFill>
          </w14:textFill>
        </w:rPr>
        <w:t>具有</w:t>
      </w:r>
      <w:r>
        <w:rPr>
          <w:rFonts w:hint="eastAsia" w:ascii="仿宋" w:hAnsi="仿宋" w:eastAsia="仿宋" w:cs="仿宋"/>
          <w:color w:val="000000" w:themeColor="text1"/>
          <w:spacing w:val="-4"/>
          <w:sz w:val="24"/>
          <w:szCs w:val="24"/>
          <w:highlight w:val="none"/>
          <w:lang w:val="en-US" w:eastAsia="zh-CN"/>
          <w14:textFill>
            <w14:solidFill>
              <w14:schemeClr w14:val="tx1"/>
            </w14:solidFill>
          </w14:textFill>
        </w:rPr>
        <w:t>10年内重点能耗企业能源审计</w:t>
      </w:r>
      <w:r>
        <w:rPr>
          <w:rFonts w:hint="eastAsia" w:ascii="仿宋" w:hAnsi="仿宋" w:eastAsia="仿宋" w:cs="仿宋"/>
          <w:color w:val="000000" w:themeColor="text1"/>
          <w:spacing w:val="-4"/>
          <w:sz w:val="24"/>
          <w:szCs w:val="24"/>
          <w:highlight w:val="none"/>
          <w14:textFill>
            <w14:solidFill>
              <w14:schemeClr w14:val="tx1"/>
            </w14:solidFill>
          </w14:textFill>
        </w:rPr>
        <w:t>业绩（非衡钢业绩提供合同复印件）</w:t>
      </w:r>
      <w:r>
        <w:rPr>
          <w:rFonts w:hint="eastAsia" w:ascii="仿宋" w:hAnsi="仿宋" w:eastAsia="仿宋" w:cs="仿宋"/>
          <w:color w:val="000000" w:themeColor="text1"/>
          <w:spacing w:val="-4"/>
          <w:sz w:val="24"/>
          <w:szCs w:val="24"/>
          <w:highlight w:val="none"/>
          <w:lang w:eastAsia="zh-CN"/>
          <w14:textFill>
            <w14:solidFill>
              <w14:schemeClr w14:val="tx1"/>
            </w14:solidFill>
          </w14:textFill>
        </w:rPr>
        <w:t>。</w:t>
      </w:r>
    </w:p>
    <w:p>
      <w:pPr>
        <w:pStyle w:val="3"/>
        <w:numPr>
          <w:ilvl w:val="1"/>
          <w:numId w:val="1"/>
        </w:numPr>
        <w:spacing w:after="0" w:line="400" w:lineRule="exact"/>
        <w:rPr>
          <w:rFonts w:hint="eastAsia" w:ascii="仿宋" w:hAnsi="仿宋" w:eastAsia="仿宋" w:cs="仿宋"/>
          <w:color w:val="auto"/>
          <w:sz w:val="24"/>
        </w:rPr>
      </w:pPr>
      <w:r>
        <w:rPr>
          <w:rFonts w:hint="eastAsia" w:ascii="仿宋" w:hAnsi="仿宋" w:eastAsia="仿宋" w:cs="仿宋"/>
          <w:color w:val="000000" w:themeColor="text1"/>
          <w:sz w:val="24"/>
          <w:szCs w:val="24"/>
          <w14:textFill>
            <w14:solidFill>
              <w14:schemeClr w14:val="tx1"/>
            </w14:solidFill>
          </w14:textFill>
        </w:rPr>
        <w:t>法律、行政法规规定的其他资格条件。</w:t>
      </w:r>
    </w:p>
    <w:p>
      <w:pPr>
        <w:pStyle w:val="3"/>
        <w:numPr>
          <w:ilvl w:val="1"/>
          <w:numId w:val="1"/>
        </w:numPr>
        <w:spacing w:after="0" w:line="400" w:lineRule="exact"/>
        <w:rPr>
          <w:rFonts w:hint="eastAsia" w:ascii="仿宋" w:hAnsi="仿宋" w:eastAsia="仿宋" w:cs="仿宋"/>
          <w:color w:val="auto"/>
          <w:sz w:val="24"/>
        </w:rPr>
      </w:pPr>
      <w:r>
        <w:rPr>
          <w:rFonts w:hint="eastAsia" w:ascii="仿宋" w:hAnsi="仿宋" w:eastAsia="仿宋" w:cs="仿宋"/>
          <w:color w:val="auto"/>
          <w:sz w:val="24"/>
        </w:rPr>
        <w:t>商业信誉</w:t>
      </w:r>
      <w:r>
        <w:rPr>
          <w:rFonts w:hint="eastAsia" w:ascii="仿宋" w:hAnsi="仿宋" w:eastAsia="仿宋" w:cs="仿宋"/>
          <w:color w:val="auto"/>
          <w:sz w:val="24"/>
          <w:lang w:eastAsia="zh-CN"/>
        </w:rPr>
        <w:t>要求</w:t>
      </w:r>
      <w:r>
        <w:rPr>
          <w:rFonts w:hint="eastAsia" w:ascii="仿宋" w:hAnsi="仿宋" w:eastAsia="仿宋" w:cs="仿宋"/>
          <w:color w:val="auto"/>
          <w:sz w:val="24"/>
        </w:rPr>
        <w:t>；投标人未被全国企业信用信息公示系统列入严重违法失信企业名单。</w:t>
      </w:r>
    </w:p>
    <w:p>
      <w:pPr>
        <w:pStyle w:val="3"/>
        <w:numPr>
          <w:ilvl w:val="1"/>
          <w:numId w:val="1"/>
        </w:numPr>
        <w:tabs>
          <w:tab w:val="left" w:pos="709"/>
        </w:tabs>
        <w:spacing w:after="0" w:line="400" w:lineRule="exact"/>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本</w:t>
      </w:r>
      <w:r>
        <w:rPr>
          <w:rFonts w:hint="eastAsia" w:ascii="仿宋" w:hAnsi="仿宋" w:eastAsia="仿宋" w:cs="仿宋"/>
          <w:color w:val="auto"/>
          <w:sz w:val="24"/>
          <w:lang w:val="en-US" w:eastAsia="zh-CN"/>
        </w:rPr>
        <w:t>项目</w:t>
      </w:r>
      <w:r>
        <w:rPr>
          <w:rFonts w:hint="eastAsia" w:ascii="仿宋" w:hAnsi="仿宋" w:eastAsia="仿宋" w:cs="仿宋"/>
          <w:color w:val="auto"/>
          <w:sz w:val="24"/>
        </w:rPr>
        <w:t>不接受联合体投标。</w:t>
      </w:r>
    </w:p>
    <w:p>
      <w:pPr>
        <w:pStyle w:val="7"/>
        <w:numPr>
          <w:ilvl w:val="0"/>
          <w:numId w:val="1"/>
        </w:numPr>
        <w:adjustRightInd w:val="0"/>
        <w:snapToGrid w:val="0"/>
        <w:spacing w:line="360" w:lineRule="exact"/>
        <w:ind w:left="2582" w:hanging="2582" w:firstLineChars="0"/>
        <w:contextualSpacing/>
        <w:rPr>
          <w:rFonts w:hint="eastAsia" w:ascii="仿宋" w:hAnsi="仿宋" w:eastAsia="仿宋" w:cs="仿宋"/>
          <w:b/>
          <w:color w:val="auto"/>
          <w:sz w:val="24"/>
        </w:rPr>
      </w:pPr>
      <w:r>
        <w:rPr>
          <w:rFonts w:hint="eastAsia" w:ascii="仿宋" w:hAnsi="仿宋" w:eastAsia="仿宋" w:cs="仿宋"/>
          <w:b/>
          <w:color w:val="auto"/>
          <w:sz w:val="24"/>
        </w:rPr>
        <w:t>招标文件获取</w:t>
      </w:r>
    </w:p>
    <w:p>
      <w:pPr>
        <w:pStyle w:val="7"/>
        <w:numPr>
          <w:ilvl w:val="1"/>
          <w:numId w:val="1"/>
        </w:numPr>
        <w:adjustRightInd w:val="0"/>
        <w:snapToGrid w:val="0"/>
        <w:spacing w:line="360" w:lineRule="exact"/>
        <w:ind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请各投标人自行在衡阳华菱钢管有限公司网站（http://www.hysteeltube.com/zbgg）下载招标文件等。</w:t>
      </w:r>
    </w:p>
    <w:p>
      <w:pPr>
        <w:pStyle w:val="7"/>
        <w:numPr>
          <w:ilvl w:val="1"/>
          <w:numId w:val="1"/>
        </w:numPr>
        <w:adjustRightInd w:val="0"/>
        <w:snapToGrid w:val="0"/>
        <w:spacing w:line="360" w:lineRule="exact"/>
        <w:ind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请投标单位自行下载或查阅招标文件及相关资料等，恕不另行通知，如有遗漏，招标人概不负责。</w:t>
      </w:r>
    </w:p>
    <w:p>
      <w:pPr>
        <w:pStyle w:val="7"/>
        <w:numPr>
          <w:ilvl w:val="1"/>
          <w:numId w:val="1"/>
        </w:numPr>
        <w:adjustRightInd w:val="0"/>
        <w:snapToGrid w:val="0"/>
        <w:spacing w:line="360" w:lineRule="exact"/>
        <w:ind w:left="2580" w:hanging="2580" w:firstLineChars="0"/>
        <w:contextualSpacing/>
        <w:rPr>
          <w:rFonts w:hint="eastAsia" w:ascii="仿宋" w:hAnsi="仿宋" w:eastAsia="仿宋" w:cs="仿宋"/>
          <w:color w:val="auto"/>
          <w:sz w:val="24"/>
        </w:rPr>
      </w:pPr>
      <w:r>
        <w:rPr>
          <w:rFonts w:hint="eastAsia" w:ascii="仿宋" w:hAnsi="仿宋" w:eastAsia="仿宋" w:cs="仿宋"/>
          <w:color w:val="auto"/>
          <w:sz w:val="24"/>
        </w:rPr>
        <w:t>招标文件售价100元人民币，扫码支付。</w:t>
      </w:r>
    </w:p>
    <w:p>
      <w:pPr>
        <w:pStyle w:val="7"/>
        <w:numPr>
          <w:ilvl w:val="0"/>
          <w:numId w:val="1"/>
        </w:numPr>
        <w:adjustRightInd w:val="0"/>
        <w:snapToGrid w:val="0"/>
        <w:spacing w:line="360" w:lineRule="exact"/>
        <w:ind w:left="2582" w:hanging="2580" w:firstLineChars="0"/>
        <w:contextualSpacing/>
        <w:rPr>
          <w:rFonts w:hint="eastAsia" w:ascii="仿宋" w:hAnsi="仿宋" w:eastAsia="仿宋" w:cs="仿宋"/>
          <w:b/>
          <w:color w:val="auto"/>
          <w:sz w:val="24"/>
        </w:rPr>
      </w:pPr>
      <w:r>
        <w:rPr>
          <w:rFonts w:hint="eastAsia" w:ascii="仿宋" w:hAnsi="仿宋" w:eastAsia="仿宋" w:cs="仿宋"/>
          <w:b/>
          <w:color w:val="auto"/>
          <w:sz w:val="24"/>
        </w:rPr>
        <w:t>投标保证金</w:t>
      </w:r>
    </w:p>
    <w:p>
      <w:pPr>
        <w:pStyle w:val="7"/>
        <w:numPr>
          <w:ilvl w:val="1"/>
          <w:numId w:val="1"/>
        </w:numPr>
        <w:adjustRightInd w:val="0"/>
        <w:snapToGrid w:val="0"/>
        <w:spacing w:line="360" w:lineRule="exact"/>
        <w:ind w:left="2580" w:hanging="2580" w:firstLineChars="0"/>
        <w:contextualSpacing/>
        <w:rPr>
          <w:rFonts w:hint="eastAsia" w:ascii="仿宋" w:hAnsi="仿宋" w:eastAsia="仿宋" w:cs="仿宋"/>
          <w:color w:val="auto"/>
          <w:sz w:val="24"/>
        </w:rPr>
      </w:pPr>
      <w:r>
        <w:rPr>
          <w:rFonts w:hint="eastAsia" w:ascii="仿宋" w:hAnsi="仿宋" w:eastAsia="仿宋" w:cs="仿宋"/>
          <w:color w:val="auto"/>
          <w:sz w:val="24"/>
        </w:rPr>
        <w:t>投标保证金金额：</w:t>
      </w:r>
      <w:r>
        <w:rPr>
          <w:rFonts w:hint="eastAsia" w:ascii="仿宋" w:hAnsi="仿宋" w:eastAsia="仿宋" w:cs="仿宋"/>
          <w:b/>
          <w:color w:val="auto"/>
          <w:sz w:val="24"/>
          <w:u w:val="single"/>
          <w:lang w:val="en-US" w:eastAsia="zh-CN"/>
        </w:rPr>
        <w:t>5</w:t>
      </w:r>
      <w:r>
        <w:rPr>
          <w:rFonts w:hint="eastAsia" w:ascii="仿宋" w:hAnsi="仿宋" w:eastAsia="仿宋" w:cs="仿宋"/>
          <w:b/>
          <w:color w:val="auto"/>
          <w:sz w:val="24"/>
          <w:u w:val="single"/>
        </w:rPr>
        <w:t>000</w:t>
      </w:r>
      <w:r>
        <w:rPr>
          <w:rFonts w:hint="eastAsia" w:ascii="仿宋" w:hAnsi="仿宋" w:eastAsia="仿宋" w:cs="仿宋"/>
          <w:color w:val="auto"/>
          <w:sz w:val="24"/>
        </w:rPr>
        <w:t>元人民币。</w:t>
      </w:r>
    </w:p>
    <w:p>
      <w:pPr>
        <w:pStyle w:val="7"/>
        <w:numPr>
          <w:ilvl w:val="1"/>
          <w:numId w:val="1"/>
        </w:numPr>
        <w:adjustRightInd w:val="0"/>
        <w:snapToGrid w:val="0"/>
        <w:spacing w:line="360" w:lineRule="exact"/>
        <w:ind w:left="2580" w:hanging="2580" w:firstLineChars="0"/>
        <w:contextualSpacing/>
        <w:rPr>
          <w:rFonts w:hint="eastAsia" w:ascii="仿宋" w:hAnsi="仿宋" w:eastAsia="仿宋" w:cs="仿宋"/>
          <w:color w:val="auto"/>
          <w:sz w:val="24"/>
        </w:rPr>
      </w:pPr>
      <w:r>
        <w:rPr>
          <w:rFonts w:hint="eastAsia" w:ascii="仿宋" w:hAnsi="仿宋" w:eastAsia="仿宋" w:cs="仿宋"/>
          <w:color w:val="auto"/>
          <w:sz w:val="24"/>
        </w:rPr>
        <w:t>投标保证金缴纳截止时间为投标截止时间前。</w:t>
      </w:r>
    </w:p>
    <w:p>
      <w:pPr>
        <w:pStyle w:val="7"/>
        <w:numPr>
          <w:ilvl w:val="1"/>
          <w:numId w:val="1"/>
        </w:numPr>
        <w:adjustRightInd w:val="0"/>
        <w:snapToGrid w:val="0"/>
        <w:spacing w:line="360" w:lineRule="exact"/>
        <w:ind w:left="2580" w:hanging="2580" w:firstLineChars="0"/>
        <w:contextualSpacing/>
        <w:rPr>
          <w:rFonts w:hint="eastAsia" w:ascii="仿宋" w:hAnsi="仿宋" w:eastAsia="仿宋" w:cs="仿宋"/>
          <w:color w:val="auto"/>
          <w:sz w:val="24"/>
        </w:rPr>
      </w:pPr>
      <w:r>
        <w:rPr>
          <w:rFonts w:hint="eastAsia" w:ascii="仿宋" w:hAnsi="仿宋" w:eastAsia="仿宋" w:cs="仿宋"/>
          <w:color w:val="auto"/>
          <w:sz w:val="24"/>
        </w:rPr>
        <w:t>投标保证金缴纳方式：银行汇票、保付支票、</w:t>
      </w:r>
      <w:r>
        <w:rPr>
          <w:rFonts w:hint="eastAsia" w:ascii="仿宋" w:hAnsi="仿宋" w:eastAsia="仿宋" w:cs="仿宋"/>
          <w:color w:val="auto"/>
          <w:sz w:val="24"/>
          <w:lang w:eastAsia="zh-CN"/>
        </w:rPr>
        <w:t>电汇</w:t>
      </w:r>
      <w:r>
        <w:rPr>
          <w:rFonts w:hint="eastAsia" w:ascii="仿宋" w:hAnsi="仿宋" w:eastAsia="仿宋" w:cs="仿宋"/>
          <w:color w:val="auto"/>
          <w:sz w:val="24"/>
        </w:rPr>
        <w:t>转账或投标单位在衡钢的货款（工程款</w:t>
      </w:r>
      <w:r>
        <w:rPr>
          <w:rFonts w:hint="eastAsia" w:ascii="仿宋" w:hAnsi="仿宋" w:eastAsia="仿宋" w:cs="仿宋"/>
          <w:color w:val="auto"/>
          <w:sz w:val="24"/>
          <w:lang w:eastAsia="zh-CN"/>
        </w:rPr>
        <w:t>、货款</w:t>
      </w:r>
      <w:r>
        <w:rPr>
          <w:rFonts w:hint="eastAsia" w:ascii="仿宋" w:hAnsi="仿宋" w:eastAsia="仿宋" w:cs="仿宋"/>
          <w:color w:val="auto"/>
          <w:sz w:val="24"/>
        </w:rPr>
        <w:t>）。</w:t>
      </w:r>
    </w:p>
    <w:p>
      <w:pPr>
        <w:adjustRightInd w:val="0"/>
        <w:snapToGrid w:val="0"/>
        <w:spacing w:line="360" w:lineRule="exact"/>
        <w:ind w:left="850" w:leftChars="405"/>
        <w:contextualSpacing/>
        <w:rPr>
          <w:rFonts w:hint="eastAsia" w:ascii="仿宋" w:hAnsi="仿宋" w:eastAsia="仿宋" w:cs="仿宋"/>
          <w:color w:val="auto"/>
          <w:sz w:val="24"/>
        </w:rPr>
      </w:pPr>
      <w:r>
        <w:rPr>
          <w:rFonts w:hint="eastAsia" w:ascii="仿宋" w:hAnsi="仿宋" w:eastAsia="仿宋" w:cs="仿宋"/>
          <w:color w:val="auto"/>
          <w:sz w:val="24"/>
        </w:rPr>
        <w:t xml:space="preserve">开户行：工行衡阳银雁支行    </w:t>
      </w:r>
    </w:p>
    <w:p>
      <w:pPr>
        <w:adjustRightInd w:val="0"/>
        <w:snapToGrid w:val="0"/>
        <w:spacing w:line="360" w:lineRule="exact"/>
        <w:ind w:left="850" w:leftChars="405"/>
        <w:contextualSpacing/>
        <w:rPr>
          <w:rFonts w:hint="eastAsia" w:ascii="仿宋" w:hAnsi="仿宋" w:eastAsia="仿宋" w:cs="仿宋"/>
          <w:color w:val="auto"/>
          <w:sz w:val="24"/>
        </w:rPr>
      </w:pPr>
      <w:r>
        <w:rPr>
          <w:rFonts w:hint="eastAsia" w:ascii="仿宋" w:hAnsi="仿宋" w:eastAsia="仿宋" w:cs="仿宋"/>
          <w:color w:val="auto"/>
          <w:sz w:val="24"/>
        </w:rPr>
        <w:t>开户名：衡阳华菱连轧管有限公司</w:t>
      </w:r>
    </w:p>
    <w:p>
      <w:pPr>
        <w:adjustRightInd w:val="0"/>
        <w:snapToGrid w:val="0"/>
        <w:spacing w:line="360" w:lineRule="exact"/>
        <w:ind w:left="850" w:leftChars="405"/>
        <w:contextualSpacing/>
        <w:rPr>
          <w:rFonts w:hint="eastAsia" w:ascii="仿宋" w:hAnsi="仿宋" w:eastAsia="仿宋" w:cs="仿宋"/>
          <w:color w:val="auto"/>
          <w:sz w:val="24"/>
        </w:rPr>
      </w:pPr>
      <w:r>
        <w:rPr>
          <w:rFonts w:hint="eastAsia" w:ascii="仿宋" w:hAnsi="仿宋" w:eastAsia="仿宋" w:cs="仿宋"/>
          <w:color w:val="auto"/>
          <w:sz w:val="24"/>
        </w:rPr>
        <w:t>帐  号：1905022319020105051</w:t>
      </w:r>
    </w:p>
    <w:p>
      <w:pPr>
        <w:pStyle w:val="7"/>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投标人未按要求缴纳投标保证金，由评委会初审后作无效投标文件处理，其可能造成的损失由投标人自行承担。</w:t>
      </w:r>
    </w:p>
    <w:p>
      <w:pPr>
        <w:pStyle w:val="7"/>
        <w:numPr>
          <w:ilvl w:val="0"/>
          <w:numId w:val="1"/>
        </w:numPr>
        <w:adjustRightInd w:val="0"/>
        <w:snapToGrid w:val="0"/>
        <w:spacing w:line="360" w:lineRule="exact"/>
        <w:ind w:left="2582" w:hanging="2580" w:firstLineChars="0"/>
        <w:contextualSpacing/>
        <w:rPr>
          <w:rFonts w:hint="eastAsia" w:ascii="仿宋" w:hAnsi="仿宋" w:eastAsia="仿宋" w:cs="仿宋"/>
          <w:b/>
          <w:color w:val="auto"/>
          <w:sz w:val="24"/>
        </w:rPr>
      </w:pPr>
      <w:r>
        <w:rPr>
          <w:rFonts w:hint="eastAsia" w:ascii="仿宋" w:hAnsi="仿宋" w:eastAsia="仿宋" w:cs="仿宋"/>
          <w:b/>
          <w:color w:val="auto"/>
          <w:sz w:val="24"/>
        </w:rPr>
        <w:t>投标和开标</w:t>
      </w:r>
    </w:p>
    <w:p>
      <w:pPr>
        <w:pStyle w:val="7"/>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投标文件递交截止时间及开标时间：</w:t>
      </w:r>
      <w:r>
        <w:rPr>
          <w:rFonts w:hint="eastAsia" w:ascii="仿宋" w:hAnsi="仿宋" w:eastAsia="仿宋" w:cs="仿宋"/>
          <w:b/>
          <w:color w:val="auto"/>
          <w:sz w:val="24"/>
          <w:u w:val="single"/>
        </w:rPr>
        <w:t xml:space="preserve">2023年 </w:t>
      </w:r>
      <w:r>
        <w:rPr>
          <w:rFonts w:hint="eastAsia" w:ascii="仿宋" w:hAnsi="仿宋" w:eastAsia="仿宋" w:cs="仿宋"/>
          <w:b/>
          <w:color w:val="auto"/>
          <w:sz w:val="24"/>
          <w:u w:val="single"/>
          <w:lang w:val="en-US" w:eastAsia="zh-CN"/>
        </w:rPr>
        <w:t>3</w:t>
      </w:r>
      <w:r>
        <w:rPr>
          <w:rFonts w:hint="eastAsia" w:ascii="仿宋" w:hAnsi="仿宋" w:eastAsia="仿宋" w:cs="仿宋"/>
          <w:b/>
          <w:color w:val="auto"/>
          <w:sz w:val="24"/>
          <w:u w:val="single"/>
        </w:rPr>
        <w:t>月</w:t>
      </w:r>
      <w:r>
        <w:rPr>
          <w:rFonts w:hint="eastAsia" w:ascii="仿宋" w:hAnsi="仿宋" w:eastAsia="仿宋" w:cs="仿宋"/>
          <w:b/>
          <w:color w:val="auto"/>
          <w:sz w:val="24"/>
          <w:u w:val="single"/>
          <w:lang w:val="en-US" w:eastAsia="zh-CN"/>
        </w:rPr>
        <w:t>28</w:t>
      </w:r>
      <w:r>
        <w:rPr>
          <w:rFonts w:hint="eastAsia" w:ascii="仿宋" w:hAnsi="仿宋" w:eastAsia="仿宋" w:cs="仿宋"/>
          <w:b/>
          <w:color w:val="auto"/>
          <w:sz w:val="24"/>
          <w:u w:val="single"/>
        </w:rPr>
        <w:t>日</w:t>
      </w:r>
      <w:r>
        <w:rPr>
          <w:rFonts w:hint="eastAsia" w:ascii="仿宋" w:hAnsi="仿宋" w:eastAsia="仿宋" w:cs="仿宋"/>
          <w:b/>
          <w:color w:val="auto"/>
          <w:sz w:val="24"/>
          <w:u w:val="single"/>
          <w:lang w:eastAsia="zh-CN"/>
        </w:rPr>
        <w:t>下</w:t>
      </w:r>
      <w:r>
        <w:rPr>
          <w:rFonts w:hint="eastAsia" w:ascii="仿宋" w:hAnsi="仿宋" w:eastAsia="仿宋" w:cs="仿宋"/>
          <w:b/>
          <w:color w:val="auto"/>
          <w:sz w:val="24"/>
          <w:u w:val="single"/>
        </w:rPr>
        <w:t>午</w:t>
      </w:r>
      <w:r>
        <w:rPr>
          <w:rFonts w:hint="eastAsia" w:ascii="仿宋" w:hAnsi="仿宋" w:eastAsia="仿宋" w:cs="仿宋"/>
          <w:b/>
          <w:color w:val="auto"/>
          <w:sz w:val="24"/>
          <w:u w:val="single"/>
          <w:lang w:val="en-US" w:eastAsia="zh-CN"/>
        </w:rPr>
        <w:t>14</w:t>
      </w:r>
      <w:r>
        <w:rPr>
          <w:rFonts w:hint="eastAsia" w:ascii="仿宋" w:hAnsi="仿宋" w:eastAsia="仿宋" w:cs="仿宋"/>
          <w:b/>
          <w:color w:val="auto"/>
          <w:sz w:val="24"/>
          <w:u w:val="single"/>
        </w:rPr>
        <w:t xml:space="preserve">:30  </w:t>
      </w:r>
      <w:r>
        <w:rPr>
          <w:rFonts w:hint="eastAsia" w:ascii="仿宋" w:hAnsi="仿宋" w:eastAsia="仿宋" w:cs="仿宋"/>
          <w:b/>
          <w:color w:val="auto"/>
          <w:sz w:val="24"/>
        </w:rPr>
        <w:t>(北京时间)</w:t>
      </w:r>
    </w:p>
    <w:p>
      <w:pPr>
        <w:pStyle w:val="7"/>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 xml:space="preserve">投标文件递交及开标地点：衡阳华菱钢管有限公司西办公楼三楼开标二室（采购部三楼）                  </w:t>
      </w:r>
    </w:p>
    <w:p>
      <w:pPr>
        <w:pStyle w:val="7"/>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逾期送达的或者未送达指定地点或未按要求密封和加写标记的投标文件，招标人不予受理。</w:t>
      </w:r>
    </w:p>
    <w:p>
      <w:pPr>
        <w:pStyle w:val="7"/>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评标办法</w:t>
      </w:r>
    </w:p>
    <w:p>
      <w:pPr>
        <w:pStyle w:val="7"/>
        <w:adjustRightInd w:val="0"/>
        <w:snapToGrid w:val="0"/>
        <w:spacing w:line="360" w:lineRule="exact"/>
        <w:ind w:left="851" w:firstLine="0" w:firstLineChars="0"/>
        <w:contextualSpacing/>
        <w:rPr>
          <w:rFonts w:hint="eastAsia" w:ascii="仿宋" w:hAnsi="仿宋" w:eastAsia="仿宋" w:cs="仿宋"/>
          <w:color w:val="auto"/>
          <w:sz w:val="24"/>
        </w:rPr>
      </w:pPr>
      <w:r>
        <w:rPr>
          <w:rFonts w:hint="eastAsia" w:ascii="仿宋" w:hAnsi="仿宋" w:eastAsia="仿宋" w:cs="仿宋"/>
          <w:color w:val="auto"/>
          <w:sz w:val="24"/>
        </w:rPr>
        <w:t>本项目采用</w:t>
      </w:r>
      <w:r>
        <w:rPr>
          <w:rFonts w:hint="eastAsia" w:ascii="仿宋" w:hAnsi="仿宋" w:eastAsia="仿宋" w:cs="仿宋"/>
          <w:color w:val="auto"/>
          <w:sz w:val="24"/>
          <w:lang w:val="en-US" w:eastAsia="zh-CN"/>
        </w:rPr>
        <w:t>综合评标</w:t>
      </w:r>
      <w:r>
        <w:rPr>
          <w:rFonts w:hint="eastAsia" w:ascii="仿宋" w:hAnsi="仿宋" w:eastAsia="仿宋" w:cs="仿宋"/>
          <w:color w:val="auto"/>
          <w:sz w:val="24"/>
        </w:rPr>
        <w:t>法。</w:t>
      </w:r>
    </w:p>
    <w:p>
      <w:pPr>
        <w:pStyle w:val="7"/>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公告媒介</w:t>
      </w:r>
    </w:p>
    <w:p>
      <w:pPr>
        <w:pStyle w:val="7"/>
        <w:adjustRightInd w:val="0"/>
        <w:snapToGrid w:val="0"/>
        <w:spacing w:line="360" w:lineRule="exact"/>
        <w:ind w:left="851" w:firstLine="0" w:firstLineChars="0"/>
        <w:contextualSpacing/>
        <w:rPr>
          <w:rFonts w:hint="eastAsia" w:ascii="仿宋" w:hAnsi="仿宋" w:eastAsia="仿宋" w:cs="仿宋"/>
          <w:color w:val="auto"/>
          <w:sz w:val="24"/>
        </w:rPr>
      </w:pPr>
      <w:r>
        <w:rPr>
          <w:rFonts w:hint="eastAsia" w:ascii="仿宋" w:hAnsi="仿宋" w:eastAsia="仿宋" w:cs="仿宋"/>
          <w:color w:val="auto"/>
          <w:sz w:val="24"/>
        </w:rPr>
        <w:t>本次招标公告在衡阳华菱钢管有限公司网站（http://www.hysteeltube.com/zbgg）上发布。</w:t>
      </w:r>
    </w:p>
    <w:p>
      <w:pPr>
        <w:pStyle w:val="7"/>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监督</w:t>
      </w:r>
    </w:p>
    <w:p>
      <w:pPr>
        <w:pStyle w:val="7"/>
        <w:numPr>
          <w:ilvl w:val="0"/>
          <w:numId w:val="1"/>
        </w:numPr>
        <w:snapToGrid w:val="0"/>
        <w:spacing w:line="400" w:lineRule="exact"/>
        <w:ind w:firstLineChars="0"/>
        <w:rPr>
          <w:rFonts w:hint="eastAsia" w:ascii="仿宋" w:hAnsi="仿宋" w:eastAsia="仿宋" w:cs="仿宋"/>
          <w:color w:val="auto"/>
          <w:kern w:val="0"/>
          <w:sz w:val="24"/>
        </w:rPr>
      </w:pPr>
      <w:r>
        <w:rPr>
          <w:rFonts w:hint="eastAsia" w:ascii="仿宋" w:hAnsi="仿宋" w:eastAsia="仿宋" w:cs="仿宋"/>
          <w:color w:val="auto"/>
          <w:sz w:val="24"/>
        </w:rPr>
        <w:t>本次招投标监督部门为衡阳华菱钢管有限公司</w:t>
      </w:r>
      <w:bookmarkStart w:id="7" w:name="_Toc300677994"/>
      <w:bookmarkStart w:id="8" w:name="_Toc303864862"/>
      <w:r>
        <w:rPr>
          <w:rFonts w:hint="eastAsia" w:ascii="仿宋" w:hAnsi="仿宋" w:eastAsia="仿宋" w:cs="仿宋"/>
          <w:color w:val="auto"/>
          <w:sz w:val="24"/>
        </w:rPr>
        <w:t>纪委，电话：</w:t>
      </w:r>
      <w:bookmarkEnd w:id="7"/>
      <w:bookmarkEnd w:id="8"/>
      <w:r>
        <w:rPr>
          <w:rFonts w:hint="eastAsia" w:ascii="仿宋" w:hAnsi="仿宋" w:eastAsia="仿宋" w:cs="仿宋"/>
          <w:color w:val="auto"/>
          <w:kern w:val="0"/>
          <w:sz w:val="24"/>
        </w:rPr>
        <w:t>0734-8872189</w:t>
      </w:r>
    </w:p>
    <w:p>
      <w:pPr>
        <w:pStyle w:val="7"/>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其它</w:t>
      </w:r>
    </w:p>
    <w:p>
      <w:pPr>
        <w:pStyle w:val="7"/>
        <w:adjustRightInd w:val="0"/>
        <w:snapToGrid w:val="0"/>
        <w:spacing w:line="360" w:lineRule="exact"/>
        <w:ind w:left="851" w:firstLine="0" w:firstLineChars="0"/>
        <w:rPr>
          <w:rFonts w:hint="eastAsia" w:ascii="仿宋" w:hAnsi="仿宋" w:eastAsia="仿宋" w:cs="仿宋"/>
          <w:color w:val="auto"/>
          <w:sz w:val="24"/>
        </w:rPr>
      </w:pPr>
      <w:r>
        <w:rPr>
          <w:rFonts w:hint="eastAsia" w:ascii="仿宋" w:hAnsi="仿宋" w:eastAsia="仿宋" w:cs="仿宋"/>
          <w:color w:val="auto"/>
          <w:sz w:val="24"/>
        </w:rPr>
        <w:t>投标人须保证其提供的资格审查申请资料及投标资料的真实性，招标人有权在招标的任何阶段进行调查和核实，一旦发现虚假，将严肃查处。</w:t>
      </w:r>
    </w:p>
    <w:p>
      <w:pPr>
        <w:pStyle w:val="7"/>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联系方式：</w:t>
      </w:r>
    </w:p>
    <w:p>
      <w:pPr>
        <w:snapToGrid w:val="0"/>
        <w:spacing w:line="420" w:lineRule="exact"/>
        <w:ind w:right="-27" w:rightChars="-13" w:firstLine="960" w:firstLineChars="4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项目联系人：</w:t>
      </w:r>
      <w:r>
        <w:rPr>
          <w:rFonts w:hint="eastAsia" w:ascii="仿宋" w:hAnsi="仿宋" w:eastAsia="仿宋" w:cs="仿宋"/>
          <w:color w:val="000000" w:themeColor="text1"/>
          <w:sz w:val="24"/>
          <w:szCs w:val="24"/>
          <w:lang w:val="en-US" w:eastAsia="zh-CN"/>
          <w14:textFill>
            <w14:solidFill>
              <w14:schemeClr w14:val="tx1"/>
            </w14:solidFill>
          </w14:textFill>
        </w:rPr>
        <w:t>曾先生</w:t>
      </w:r>
    </w:p>
    <w:p>
      <w:pPr>
        <w:snapToGrid w:val="0"/>
        <w:spacing w:line="420" w:lineRule="exact"/>
        <w:ind w:right="-27" w:rightChars="-13" w:firstLine="960" w:firstLineChars="4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电话：（0734）887</w:t>
      </w:r>
      <w:r>
        <w:rPr>
          <w:rFonts w:hint="eastAsia" w:ascii="仿宋" w:hAnsi="仿宋" w:eastAsia="仿宋" w:cs="仿宋"/>
          <w:color w:val="000000" w:themeColor="text1"/>
          <w:sz w:val="24"/>
          <w:szCs w:val="24"/>
          <w:lang w:val="en-US" w:eastAsia="zh-CN"/>
          <w14:textFill>
            <w14:solidFill>
              <w14:schemeClr w14:val="tx1"/>
            </w14:solidFill>
          </w14:textFill>
        </w:rPr>
        <w:t>5509</w:t>
      </w:r>
      <w:r>
        <w:rPr>
          <w:rFonts w:hint="eastAsia" w:ascii="仿宋" w:hAnsi="仿宋" w:eastAsia="仿宋" w:cs="仿宋"/>
          <w:color w:val="000000" w:themeColor="text1"/>
          <w:sz w:val="24"/>
          <w:szCs w:val="24"/>
          <w14:textFill>
            <w14:solidFill>
              <w14:schemeClr w14:val="tx1"/>
            </w14:solidFill>
          </w14:textFill>
        </w:rPr>
        <w:t>（办）               手机：</w:t>
      </w:r>
      <w:r>
        <w:rPr>
          <w:rFonts w:hint="eastAsia" w:ascii="仿宋" w:hAnsi="仿宋" w:eastAsia="仿宋" w:cs="仿宋"/>
          <w:color w:val="000000" w:themeColor="text1"/>
          <w:sz w:val="24"/>
          <w:szCs w:val="24"/>
          <w:lang w:val="en-US" w:eastAsia="zh-CN"/>
          <w14:textFill>
            <w14:solidFill>
              <w14:schemeClr w14:val="tx1"/>
            </w14:solidFill>
          </w14:textFill>
        </w:rPr>
        <w:t>13307479373</w:t>
      </w:r>
    </w:p>
    <w:p>
      <w:pPr>
        <w:spacing w:line="360" w:lineRule="exact"/>
        <w:ind w:firstLine="943" w:firstLineChars="393"/>
        <w:jc w:val="left"/>
        <w:rPr>
          <w:rFonts w:hint="eastAsia" w:ascii="仿宋" w:hAnsi="仿宋" w:eastAsia="仿宋" w:cs="仿宋"/>
          <w:color w:val="auto"/>
          <w:sz w:val="24"/>
          <w:lang w:val="en-US" w:eastAsia="zh-CN"/>
        </w:rPr>
      </w:pPr>
      <w:r>
        <w:rPr>
          <w:rFonts w:hint="eastAsia" w:ascii="仿宋" w:hAnsi="仿宋" w:eastAsia="仿宋" w:cs="仿宋"/>
          <w:color w:val="auto"/>
          <w:sz w:val="24"/>
        </w:rPr>
        <w:t>详细地址：衡阳华菱钢管有限公司</w:t>
      </w:r>
      <w:r>
        <w:rPr>
          <w:rFonts w:hint="eastAsia" w:ascii="仿宋" w:hAnsi="仿宋" w:eastAsia="仿宋" w:cs="仿宋"/>
          <w:color w:val="auto"/>
          <w:sz w:val="24"/>
          <w:lang w:val="en-US" w:eastAsia="zh-CN"/>
        </w:rPr>
        <w:t>设备工程部</w:t>
      </w:r>
    </w:p>
    <w:p>
      <w:pPr>
        <w:spacing w:line="360" w:lineRule="exact"/>
        <w:ind w:firstLine="943" w:firstLineChars="393"/>
        <w:rPr>
          <w:rFonts w:hint="eastAsia" w:ascii="仿宋" w:hAnsi="仿宋" w:eastAsia="仿宋" w:cs="仿宋"/>
          <w:color w:val="auto"/>
          <w:sz w:val="24"/>
        </w:rPr>
      </w:pPr>
      <w:r>
        <w:rPr>
          <w:rFonts w:hint="eastAsia" w:ascii="仿宋" w:hAnsi="仿宋" w:eastAsia="仿宋" w:cs="仿宋"/>
          <w:color w:val="auto"/>
          <w:sz w:val="24"/>
        </w:rPr>
        <w:t>招标联系人： 洪先生</w:t>
      </w:r>
    </w:p>
    <w:p>
      <w:pPr>
        <w:spacing w:line="360" w:lineRule="exact"/>
        <w:ind w:firstLine="943" w:firstLineChars="393"/>
        <w:rPr>
          <w:rFonts w:hint="eastAsia" w:ascii="仿宋" w:hAnsi="仿宋" w:eastAsia="仿宋" w:cs="仿宋"/>
          <w:color w:val="auto"/>
          <w:sz w:val="24"/>
        </w:rPr>
      </w:pPr>
      <w:r>
        <w:rPr>
          <w:rFonts w:hint="eastAsia" w:ascii="仿宋" w:hAnsi="仿宋" w:eastAsia="仿宋" w:cs="仿宋"/>
          <w:color w:val="auto"/>
          <w:sz w:val="24"/>
        </w:rPr>
        <w:t>电话：（0734）8872579            手机：156 1667 8886</w:t>
      </w:r>
    </w:p>
    <w:p>
      <w:r>
        <w:rPr>
          <w:rFonts w:hint="eastAsia" w:ascii="仿宋" w:hAnsi="仿宋" w:eastAsia="仿宋" w:cs="仿宋"/>
          <w:color w:val="auto"/>
          <w:sz w:val="24"/>
        </w:rPr>
        <w:t>详细地址：衡阳华菱钢管有限公司持续改进部</w:t>
      </w:r>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cc015fd2-b4b5-4311-a504-a2d8334bdd34"/>
  </w:docVars>
  <w:rsids>
    <w:rsidRoot w:val="00000000"/>
    <w:rsid w:val="000C4207"/>
    <w:rsid w:val="00785C60"/>
    <w:rsid w:val="009D6642"/>
    <w:rsid w:val="00F21B12"/>
    <w:rsid w:val="01304084"/>
    <w:rsid w:val="01D30FD5"/>
    <w:rsid w:val="021A4632"/>
    <w:rsid w:val="027B19DA"/>
    <w:rsid w:val="028918BA"/>
    <w:rsid w:val="02943C76"/>
    <w:rsid w:val="02B66F28"/>
    <w:rsid w:val="02C16D57"/>
    <w:rsid w:val="030E73EA"/>
    <w:rsid w:val="033865FF"/>
    <w:rsid w:val="0339120C"/>
    <w:rsid w:val="03510CC5"/>
    <w:rsid w:val="040D337E"/>
    <w:rsid w:val="04506E67"/>
    <w:rsid w:val="049C3378"/>
    <w:rsid w:val="04AD7516"/>
    <w:rsid w:val="04BF5268"/>
    <w:rsid w:val="053647C3"/>
    <w:rsid w:val="055B0797"/>
    <w:rsid w:val="05757A01"/>
    <w:rsid w:val="0577293D"/>
    <w:rsid w:val="06284096"/>
    <w:rsid w:val="0659719B"/>
    <w:rsid w:val="06787BB9"/>
    <w:rsid w:val="06C420FE"/>
    <w:rsid w:val="06E71DCE"/>
    <w:rsid w:val="06F04FCF"/>
    <w:rsid w:val="07164054"/>
    <w:rsid w:val="07207767"/>
    <w:rsid w:val="07466B43"/>
    <w:rsid w:val="07AD0DD7"/>
    <w:rsid w:val="07D2125F"/>
    <w:rsid w:val="07E64A9D"/>
    <w:rsid w:val="07EC16E6"/>
    <w:rsid w:val="08112523"/>
    <w:rsid w:val="082F6A46"/>
    <w:rsid w:val="08DA499A"/>
    <w:rsid w:val="08F2172F"/>
    <w:rsid w:val="091D6E63"/>
    <w:rsid w:val="091F2D0D"/>
    <w:rsid w:val="093B44DD"/>
    <w:rsid w:val="096B2C0B"/>
    <w:rsid w:val="09BF659A"/>
    <w:rsid w:val="09E21343"/>
    <w:rsid w:val="09EE3F88"/>
    <w:rsid w:val="0A041AA0"/>
    <w:rsid w:val="0A07287D"/>
    <w:rsid w:val="0A410AF1"/>
    <w:rsid w:val="0A5C0995"/>
    <w:rsid w:val="0A6F0B97"/>
    <w:rsid w:val="0AD83739"/>
    <w:rsid w:val="0AE43683"/>
    <w:rsid w:val="0AFD0603"/>
    <w:rsid w:val="0B3E432A"/>
    <w:rsid w:val="0B5705F4"/>
    <w:rsid w:val="0B6626BB"/>
    <w:rsid w:val="0B8F17B2"/>
    <w:rsid w:val="0BEE2AD7"/>
    <w:rsid w:val="0BF42AF6"/>
    <w:rsid w:val="0BFE4A7C"/>
    <w:rsid w:val="0BFE7AA0"/>
    <w:rsid w:val="0C3657D4"/>
    <w:rsid w:val="0C681AB3"/>
    <w:rsid w:val="0C707D08"/>
    <w:rsid w:val="0C816D28"/>
    <w:rsid w:val="0CC0741D"/>
    <w:rsid w:val="0D5352AC"/>
    <w:rsid w:val="0EDC56C4"/>
    <w:rsid w:val="0EE80316"/>
    <w:rsid w:val="0EFC7D1A"/>
    <w:rsid w:val="0F053482"/>
    <w:rsid w:val="0F146BF7"/>
    <w:rsid w:val="0F511350"/>
    <w:rsid w:val="0FEA1D5E"/>
    <w:rsid w:val="10576E53"/>
    <w:rsid w:val="10C952F4"/>
    <w:rsid w:val="10CA1F3F"/>
    <w:rsid w:val="113C16BE"/>
    <w:rsid w:val="11B90952"/>
    <w:rsid w:val="11C17AF8"/>
    <w:rsid w:val="122363EF"/>
    <w:rsid w:val="12991104"/>
    <w:rsid w:val="12A62C85"/>
    <w:rsid w:val="12BB4189"/>
    <w:rsid w:val="12DF719A"/>
    <w:rsid w:val="134250E4"/>
    <w:rsid w:val="13AE6F2F"/>
    <w:rsid w:val="140F4F12"/>
    <w:rsid w:val="14245E60"/>
    <w:rsid w:val="14F073CB"/>
    <w:rsid w:val="14FD3F89"/>
    <w:rsid w:val="152C1191"/>
    <w:rsid w:val="155179CC"/>
    <w:rsid w:val="15834AD0"/>
    <w:rsid w:val="1644074E"/>
    <w:rsid w:val="16676D63"/>
    <w:rsid w:val="16D02110"/>
    <w:rsid w:val="16D95113"/>
    <w:rsid w:val="16D96C7B"/>
    <w:rsid w:val="170F4556"/>
    <w:rsid w:val="171E5582"/>
    <w:rsid w:val="172D33BE"/>
    <w:rsid w:val="179A4FD4"/>
    <w:rsid w:val="179E646B"/>
    <w:rsid w:val="17BA33F6"/>
    <w:rsid w:val="180B17F6"/>
    <w:rsid w:val="18742AFC"/>
    <w:rsid w:val="18D01DAC"/>
    <w:rsid w:val="1931432C"/>
    <w:rsid w:val="19685A92"/>
    <w:rsid w:val="1986315B"/>
    <w:rsid w:val="1995366B"/>
    <w:rsid w:val="19BB0B19"/>
    <w:rsid w:val="1A056B39"/>
    <w:rsid w:val="1A396AF9"/>
    <w:rsid w:val="1A5435E8"/>
    <w:rsid w:val="1A6D571A"/>
    <w:rsid w:val="1AB3696F"/>
    <w:rsid w:val="1AC144B4"/>
    <w:rsid w:val="1AEF1A51"/>
    <w:rsid w:val="1AF25204"/>
    <w:rsid w:val="1B14119E"/>
    <w:rsid w:val="1B6942E5"/>
    <w:rsid w:val="1BC66899"/>
    <w:rsid w:val="1C784B02"/>
    <w:rsid w:val="1C9818EC"/>
    <w:rsid w:val="1CAA58E6"/>
    <w:rsid w:val="1CB95E3F"/>
    <w:rsid w:val="1CC533D7"/>
    <w:rsid w:val="1D276D65"/>
    <w:rsid w:val="1D4342B9"/>
    <w:rsid w:val="1D72319F"/>
    <w:rsid w:val="1D887616"/>
    <w:rsid w:val="1D8F716E"/>
    <w:rsid w:val="1DAE509A"/>
    <w:rsid w:val="1E000811"/>
    <w:rsid w:val="1E034F64"/>
    <w:rsid w:val="1E1B4335"/>
    <w:rsid w:val="1E685541"/>
    <w:rsid w:val="1F561E98"/>
    <w:rsid w:val="1FC90F66"/>
    <w:rsid w:val="205051FE"/>
    <w:rsid w:val="20697FFB"/>
    <w:rsid w:val="208B23A6"/>
    <w:rsid w:val="20C337EE"/>
    <w:rsid w:val="20F1787A"/>
    <w:rsid w:val="213C5BC8"/>
    <w:rsid w:val="213D5C04"/>
    <w:rsid w:val="214D130B"/>
    <w:rsid w:val="21642EE5"/>
    <w:rsid w:val="2176146D"/>
    <w:rsid w:val="217A200B"/>
    <w:rsid w:val="218228AD"/>
    <w:rsid w:val="21AF6C23"/>
    <w:rsid w:val="21B54824"/>
    <w:rsid w:val="21CC102B"/>
    <w:rsid w:val="21E1292B"/>
    <w:rsid w:val="21E40A2C"/>
    <w:rsid w:val="22264AD0"/>
    <w:rsid w:val="229078FB"/>
    <w:rsid w:val="233450CC"/>
    <w:rsid w:val="235614FB"/>
    <w:rsid w:val="23730CAD"/>
    <w:rsid w:val="237E6041"/>
    <w:rsid w:val="23CD62DD"/>
    <w:rsid w:val="23D1359D"/>
    <w:rsid w:val="23DD5B7B"/>
    <w:rsid w:val="24731634"/>
    <w:rsid w:val="24866D22"/>
    <w:rsid w:val="24D250D6"/>
    <w:rsid w:val="25186441"/>
    <w:rsid w:val="252F1C65"/>
    <w:rsid w:val="257C4511"/>
    <w:rsid w:val="25894C8A"/>
    <w:rsid w:val="25B869B1"/>
    <w:rsid w:val="25DA6FA7"/>
    <w:rsid w:val="260032EF"/>
    <w:rsid w:val="26036470"/>
    <w:rsid w:val="264526E8"/>
    <w:rsid w:val="266B1918"/>
    <w:rsid w:val="26842C86"/>
    <w:rsid w:val="26941308"/>
    <w:rsid w:val="26B13AE6"/>
    <w:rsid w:val="270535F3"/>
    <w:rsid w:val="271915BE"/>
    <w:rsid w:val="27385A48"/>
    <w:rsid w:val="27511897"/>
    <w:rsid w:val="27897249"/>
    <w:rsid w:val="27B93981"/>
    <w:rsid w:val="27D25EB5"/>
    <w:rsid w:val="283328ED"/>
    <w:rsid w:val="28711455"/>
    <w:rsid w:val="28882150"/>
    <w:rsid w:val="28B8463E"/>
    <w:rsid w:val="290F34CF"/>
    <w:rsid w:val="294433B5"/>
    <w:rsid w:val="295E0694"/>
    <w:rsid w:val="29706B46"/>
    <w:rsid w:val="29755A08"/>
    <w:rsid w:val="2A0D5288"/>
    <w:rsid w:val="2A3F290C"/>
    <w:rsid w:val="2A636155"/>
    <w:rsid w:val="2A7014F3"/>
    <w:rsid w:val="2A90758A"/>
    <w:rsid w:val="2AF6294E"/>
    <w:rsid w:val="2B586F48"/>
    <w:rsid w:val="2BD43ED0"/>
    <w:rsid w:val="2BE74C8C"/>
    <w:rsid w:val="2C111A26"/>
    <w:rsid w:val="2C476DC5"/>
    <w:rsid w:val="2CB16410"/>
    <w:rsid w:val="2CCF2B95"/>
    <w:rsid w:val="2D656E1F"/>
    <w:rsid w:val="2DE172B8"/>
    <w:rsid w:val="2E172841"/>
    <w:rsid w:val="2ED81C99"/>
    <w:rsid w:val="2F0270EE"/>
    <w:rsid w:val="2F3A3121"/>
    <w:rsid w:val="2F4E3463"/>
    <w:rsid w:val="2F5725A9"/>
    <w:rsid w:val="2F6C397C"/>
    <w:rsid w:val="2F7759F0"/>
    <w:rsid w:val="2F831A83"/>
    <w:rsid w:val="2F9B6D0E"/>
    <w:rsid w:val="2FBB55B3"/>
    <w:rsid w:val="2FBF7E24"/>
    <w:rsid w:val="301B75EC"/>
    <w:rsid w:val="301F3EE5"/>
    <w:rsid w:val="30285249"/>
    <w:rsid w:val="30503A7D"/>
    <w:rsid w:val="307E3D7D"/>
    <w:rsid w:val="30B76D6B"/>
    <w:rsid w:val="310B0E02"/>
    <w:rsid w:val="315202AF"/>
    <w:rsid w:val="3219229A"/>
    <w:rsid w:val="325402AF"/>
    <w:rsid w:val="328270DE"/>
    <w:rsid w:val="329B2178"/>
    <w:rsid w:val="32AE21CA"/>
    <w:rsid w:val="334F106A"/>
    <w:rsid w:val="33564983"/>
    <w:rsid w:val="335E7698"/>
    <w:rsid w:val="33720AF5"/>
    <w:rsid w:val="337D4C6B"/>
    <w:rsid w:val="33E86BF8"/>
    <w:rsid w:val="33F13E9A"/>
    <w:rsid w:val="34900E3E"/>
    <w:rsid w:val="349C24DD"/>
    <w:rsid w:val="34A2369A"/>
    <w:rsid w:val="34B927A4"/>
    <w:rsid w:val="34E541A3"/>
    <w:rsid w:val="35241CF0"/>
    <w:rsid w:val="35376B32"/>
    <w:rsid w:val="355170C7"/>
    <w:rsid w:val="356C6118"/>
    <w:rsid w:val="35711A80"/>
    <w:rsid w:val="359318D4"/>
    <w:rsid w:val="35B63972"/>
    <w:rsid w:val="36311DAF"/>
    <w:rsid w:val="364B0939"/>
    <w:rsid w:val="3664316A"/>
    <w:rsid w:val="36810F5B"/>
    <w:rsid w:val="368A7705"/>
    <w:rsid w:val="368B678B"/>
    <w:rsid w:val="36976842"/>
    <w:rsid w:val="36A7153E"/>
    <w:rsid w:val="36AC6D3A"/>
    <w:rsid w:val="36DF0C0A"/>
    <w:rsid w:val="37015693"/>
    <w:rsid w:val="376F0E33"/>
    <w:rsid w:val="37896D74"/>
    <w:rsid w:val="37B342A6"/>
    <w:rsid w:val="383E2708"/>
    <w:rsid w:val="38886A91"/>
    <w:rsid w:val="392B417D"/>
    <w:rsid w:val="39AA0763"/>
    <w:rsid w:val="39C93F05"/>
    <w:rsid w:val="3A1050D9"/>
    <w:rsid w:val="3A2916CC"/>
    <w:rsid w:val="3A373055"/>
    <w:rsid w:val="3A620D1F"/>
    <w:rsid w:val="3AC43733"/>
    <w:rsid w:val="3AEB1A89"/>
    <w:rsid w:val="3B780D5B"/>
    <w:rsid w:val="3BD02199"/>
    <w:rsid w:val="3BFF5122"/>
    <w:rsid w:val="3C0F329F"/>
    <w:rsid w:val="3C105B8D"/>
    <w:rsid w:val="3C7E54E0"/>
    <w:rsid w:val="3CBE7FFF"/>
    <w:rsid w:val="3CD81BEB"/>
    <w:rsid w:val="3CEF5F40"/>
    <w:rsid w:val="3DEE7D4C"/>
    <w:rsid w:val="3E3E2A90"/>
    <w:rsid w:val="3EAD245E"/>
    <w:rsid w:val="3ECE635A"/>
    <w:rsid w:val="3EFB76E1"/>
    <w:rsid w:val="3F164D88"/>
    <w:rsid w:val="3FF173A1"/>
    <w:rsid w:val="402D3852"/>
    <w:rsid w:val="402F3C06"/>
    <w:rsid w:val="407277BB"/>
    <w:rsid w:val="40885CC9"/>
    <w:rsid w:val="40901879"/>
    <w:rsid w:val="40A9072E"/>
    <w:rsid w:val="40FB707B"/>
    <w:rsid w:val="411E2494"/>
    <w:rsid w:val="41465393"/>
    <w:rsid w:val="417A0E67"/>
    <w:rsid w:val="41820BDE"/>
    <w:rsid w:val="41B17202"/>
    <w:rsid w:val="41E50605"/>
    <w:rsid w:val="42214890"/>
    <w:rsid w:val="42512A0C"/>
    <w:rsid w:val="42715BBF"/>
    <w:rsid w:val="427E2307"/>
    <w:rsid w:val="42B2103B"/>
    <w:rsid w:val="42C46869"/>
    <w:rsid w:val="42E079A9"/>
    <w:rsid w:val="42EA48E5"/>
    <w:rsid w:val="42FC3361"/>
    <w:rsid w:val="42FC5A95"/>
    <w:rsid w:val="43580A3D"/>
    <w:rsid w:val="43A926FF"/>
    <w:rsid w:val="43C01FAF"/>
    <w:rsid w:val="43DD7A97"/>
    <w:rsid w:val="44EC098A"/>
    <w:rsid w:val="44F44EE9"/>
    <w:rsid w:val="455C478E"/>
    <w:rsid w:val="458B426E"/>
    <w:rsid w:val="45C422A6"/>
    <w:rsid w:val="45EF2509"/>
    <w:rsid w:val="46352C13"/>
    <w:rsid w:val="4665408D"/>
    <w:rsid w:val="46905C2D"/>
    <w:rsid w:val="46C53F1E"/>
    <w:rsid w:val="46EE2352"/>
    <w:rsid w:val="47481562"/>
    <w:rsid w:val="47494CCF"/>
    <w:rsid w:val="474D0844"/>
    <w:rsid w:val="476379EC"/>
    <w:rsid w:val="47765AA1"/>
    <w:rsid w:val="47A12551"/>
    <w:rsid w:val="4843593C"/>
    <w:rsid w:val="48A52F08"/>
    <w:rsid w:val="48CC082A"/>
    <w:rsid w:val="48CF1DA6"/>
    <w:rsid w:val="48D95566"/>
    <w:rsid w:val="495F0488"/>
    <w:rsid w:val="4A054499"/>
    <w:rsid w:val="4A6C229C"/>
    <w:rsid w:val="4A860911"/>
    <w:rsid w:val="4AE827DB"/>
    <w:rsid w:val="4AF4600C"/>
    <w:rsid w:val="4B116612"/>
    <w:rsid w:val="4B1E0EC1"/>
    <w:rsid w:val="4BD02A78"/>
    <w:rsid w:val="4BD17E64"/>
    <w:rsid w:val="4C45232D"/>
    <w:rsid w:val="4C6704B2"/>
    <w:rsid w:val="4D2810B9"/>
    <w:rsid w:val="4D574014"/>
    <w:rsid w:val="4D6F061D"/>
    <w:rsid w:val="4D8F68C8"/>
    <w:rsid w:val="4DD527A9"/>
    <w:rsid w:val="4E192274"/>
    <w:rsid w:val="4E815AF8"/>
    <w:rsid w:val="4EE53709"/>
    <w:rsid w:val="4EEA0CC3"/>
    <w:rsid w:val="4F104044"/>
    <w:rsid w:val="4F650B79"/>
    <w:rsid w:val="4FE5187E"/>
    <w:rsid w:val="50434818"/>
    <w:rsid w:val="510A416B"/>
    <w:rsid w:val="51912D4C"/>
    <w:rsid w:val="51976E86"/>
    <w:rsid w:val="519C0F96"/>
    <w:rsid w:val="51A07BE8"/>
    <w:rsid w:val="51E77035"/>
    <w:rsid w:val="52324736"/>
    <w:rsid w:val="526925D2"/>
    <w:rsid w:val="52B8464B"/>
    <w:rsid w:val="52BF0717"/>
    <w:rsid w:val="530E09D9"/>
    <w:rsid w:val="534D6811"/>
    <w:rsid w:val="53AD09CD"/>
    <w:rsid w:val="53D774C4"/>
    <w:rsid w:val="53E91EB6"/>
    <w:rsid w:val="53EF53CC"/>
    <w:rsid w:val="541D47C8"/>
    <w:rsid w:val="54520DF3"/>
    <w:rsid w:val="54521684"/>
    <w:rsid w:val="547658B5"/>
    <w:rsid w:val="54804FB6"/>
    <w:rsid w:val="550D27A7"/>
    <w:rsid w:val="552F7FB4"/>
    <w:rsid w:val="557A7D61"/>
    <w:rsid w:val="55837FB1"/>
    <w:rsid w:val="560D000C"/>
    <w:rsid w:val="56DD3D5C"/>
    <w:rsid w:val="56FE4F65"/>
    <w:rsid w:val="57445D0C"/>
    <w:rsid w:val="57837254"/>
    <w:rsid w:val="57B96228"/>
    <w:rsid w:val="58024229"/>
    <w:rsid w:val="583E14F8"/>
    <w:rsid w:val="586D534D"/>
    <w:rsid w:val="595E406C"/>
    <w:rsid w:val="59981DAE"/>
    <w:rsid w:val="59B85E1C"/>
    <w:rsid w:val="59C5191B"/>
    <w:rsid w:val="59EB55F7"/>
    <w:rsid w:val="59F71DCF"/>
    <w:rsid w:val="59F942E8"/>
    <w:rsid w:val="59FF4FD6"/>
    <w:rsid w:val="5A0A7565"/>
    <w:rsid w:val="5A2D4138"/>
    <w:rsid w:val="5A374A00"/>
    <w:rsid w:val="5AB021EE"/>
    <w:rsid w:val="5AC92B83"/>
    <w:rsid w:val="5B4E0EB0"/>
    <w:rsid w:val="5B8B4EFB"/>
    <w:rsid w:val="5B9F6E02"/>
    <w:rsid w:val="5BA65ECF"/>
    <w:rsid w:val="5BC01922"/>
    <w:rsid w:val="5C013081"/>
    <w:rsid w:val="5C7736BF"/>
    <w:rsid w:val="5CB4022B"/>
    <w:rsid w:val="5CC90A9C"/>
    <w:rsid w:val="5CF53AAD"/>
    <w:rsid w:val="5D120DE6"/>
    <w:rsid w:val="5D135E92"/>
    <w:rsid w:val="5E005CCD"/>
    <w:rsid w:val="5E0675B3"/>
    <w:rsid w:val="5E261A7B"/>
    <w:rsid w:val="5F242956"/>
    <w:rsid w:val="5F286199"/>
    <w:rsid w:val="5F410C66"/>
    <w:rsid w:val="5F660247"/>
    <w:rsid w:val="5F6A7199"/>
    <w:rsid w:val="611936CF"/>
    <w:rsid w:val="61661621"/>
    <w:rsid w:val="61B15DA7"/>
    <w:rsid w:val="61CC00E4"/>
    <w:rsid w:val="61CC618D"/>
    <w:rsid w:val="62117BA6"/>
    <w:rsid w:val="621E3492"/>
    <w:rsid w:val="621E7AC8"/>
    <w:rsid w:val="624844FC"/>
    <w:rsid w:val="62513776"/>
    <w:rsid w:val="627D4F9A"/>
    <w:rsid w:val="63347E0D"/>
    <w:rsid w:val="6341193A"/>
    <w:rsid w:val="63502ECA"/>
    <w:rsid w:val="638064F5"/>
    <w:rsid w:val="63A11716"/>
    <w:rsid w:val="63B92156"/>
    <w:rsid w:val="63C049ED"/>
    <w:rsid w:val="63EC75FB"/>
    <w:rsid w:val="644E7257"/>
    <w:rsid w:val="64E35DC9"/>
    <w:rsid w:val="64FB1001"/>
    <w:rsid w:val="65491BD3"/>
    <w:rsid w:val="661F7E1F"/>
    <w:rsid w:val="664A1CC6"/>
    <w:rsid w:val="664F0883"/>
    <w:rsid w:val="66B15271"/>
    <w:rsid w:val="676A7FB2"/>
    <w:rsid w:val="67701ED6"/>
    <w:rsid w:val="67A01F19"/>
    <w:rsid w:val="67A70762"/>
    <w:rsid w:val="682611CF"/>
    <w:rsid w:val="68321835"/>
    <w:rsid w:val="6835752D"/>
    <w:rsid w:val="683C1C9A"/>
    <w:rsid w:val="685063DC"/>
    <w:rsid w:val="68696542"/>
    <w:rsid w:val="68927DDF"/>
    <w:rsid w:val="68B9146F"/>
    <w:rsid w:val="68C8593A"/>
    <w:rsid w:val="68D8005A"/>
    <w:rsid w:val="690044F4"/>
    <w:rsid w:val="6919667B"/>
    <w:rsid w:val="696B5AF1"/>
    <w:rsid w:val="6A155C6B"/>
    <w:rsid w:val="6A41679D"/>
    <w:rsid w:val="6A501F3E"/>
    <w:rsid w:val="6A567CCE"/>
    <w:rsid w:val="6AB93044"/>
    <w:rsid w:val="6AE40F79"/>
    <w:rsid w:val="6AE907E2"/>
    <w:rsid w:val="6B0214A5"/>
    <w:rsid w:val="6B04249C"/>
    <w:rsid w:val="6BB1689B"/>
    <w:rsid w:val="6BDD5CA0"/>
    <w:rsid w:val="6C155F1B"/>
    <w:rsid w:val="6C7A0DE7"/>
    <w:rsid w:val="6CE54239"/>
    <w:rsid w:val="6CF42AB1"/>
    <w:rsid w:val="6D0D4C47"/>
    <w:rsid w:val="6D1C04ED"/>
    <w:rsid w:val="6D5E54D7"/>
    <w:rsid w:val="6DE615E6"/>
    <w:rsid w:val="6E28582A"/>
    <w:rsid w:val="6E356042"/>
    <w:rsid w:val="6E492C75"/>
    <w:rsid w:val="6EB51E1E"/>
    <w:rsid w:val="6F734FFB"/>
    <w:rsid w:val="6F925199"/>
    <w:rsid w:val="703C1F4B"/>
    <w:rsid w:val="706249AE"/>
    <w:rsid w:val="70CB533C"/>
    <w:rsid w:val="70E74546"/>
    <w:rsid w:val="70EF4669"/>
    <w:rsid w:val="711E2C04"/>
    <w:rsid w:val="714E01A4"/>
    <w:rsid w:val="71A87012"/>
    <w:rsid w:val="71C3003A"/>
    <w:rsid w:val="71D85393"/>
    <w:rsid w:val="720261C1"/>
    <w:rsid w:val="72215D19"/>
    <w:rsid w:val="725F25AD"/>
    <w:rsid w:val="728804B2"/>
    <w:rsid w:val="72C149FD"/>
    <w:rsid w:val="72F71E02"/>
    <w:rsid w:val="734B2240"/>
    <w:rsid w:val="73700C25"/>
    <w:rsid w:val="739B5271"/>
    <w:rsid w:val="73E35EC9"/>
    <w:rsid w:val="73EE656A"/>
    <w:rsid w:val="74C76993"/>
    <w:rsid w:val="75270C3A"/>
    <w:rsid w:val="756D62DD"/>
    <w:rsid w:val="75717BD2"/>
    <w:rsid w:val="75A23463"/>
    <w:rsid w:val="76121C73"/>
    <w:rsid w:val="762A03BD"/>
    <w:rsid w:val="7678352F"/>
    <w:rsid w:val="769E7481"/>
    <w:rsid w:val="76A94C90"/>
    <w:rsid w:val="76BB5AC3"/>
    <w:rsid w:val="775A0CED"/>
    <w:rsid w:val="778A024C"/>
    <w:rsid w:val="778B1997"/>
    <w:rsid w:val="77C650A4"/>
    <w:rsid w:val="77C725A5"/>
    <w:rsid w:val="781363A3"/>
    <w:rsid w:val="785349EA"/>
    <w:rsid w:val="7855344E"/>
    <w:rsid w:val="78853414"/>
    <w:rsid w:val="794E1412"/>
    <w:rsid w:val="79906D31"/>
    <w:rsid w:val="79D0290D"/>
    <w:rsid w:val="79D74604"/>
    <w:rsid w:val="79F5552C"/>
    <w:rsid w:val="7A0C56D7"/>
    <w:rsid w:val="7A567422"/>
    <w:rsid w:val="7A7F0576"/>
    <w:rsid w:val="7AB07323"/>
    <w:rsid w:val="7AD35D7E"/>
    <w:rsid w:val="7AD738E5"/>
    <w:rsid w:val="7B266065"/>
    <w:rsid w:val="7BDE539D"/>
    <w:rsid w:val="7BDF223A"/>
    <w:rsid w:val="7C1D2CF8"/>
    <w:rsid w:val="7C9B7912"/>
    <w:rsid w:val="7D536A8F"/>
    <w:rsid w:val="7D64770A"/>
    <w:rsid w:val="7D6E72E0"/>
    <w:rsid w:val="7D6F1189"/>
    <w:rsid w:val="7D8725C5"/>
    <w:rsid w:val="7DA002D4"/>
    <w:rsid w:val="7DBD1B2D"/>
    <w:rsid w:val="7E08368E"/>
    <w:rsid w:val="7E1C1EF2"/>
    <w:rsid w:val="7E2F32D7"/>
    <w:rsid w:val="7E7F1894"/>
    <w:rsid w:val="7EDE4ACA"/>
    <w:rsid w:val="7F21247F"/>
    <w:rsid w:val="7F40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List 2"/>
    <w:basedOn w:val="1"/>
    <w:unhideWhenUsed/>
    <w:qFormat/>
    <w:uiPriority w:val="99"/>
    <w:pPr>
      <w:widowControl/>
      <w:ind w:left="840" w:hanging="420"/>
      <w:jc w:val="left"/>
    </w:pPr>
    <w:rPr>
      <w:rFonts w:hint="eastAsia" w:ascii="宋体"/>
      <w:sz w:val="22"/>
      <w:szCs w:val="24"/>
    </w:rPr>
  </w:style>
  <w:style w:type="paragraph" w:styleId="3">
    <w:name w:val="Body Text 2"/>
    <w:basedOn w:val="1"/>
    <w:qFormat/>
    <w:uiPriority w:val="99"/>
    <w:pPr>
      <w:spacing w:after="120" w:line="480" w:lineRule="auto"/>
    </w:pPr>
    <w:rPr>
      <w:rFonts w:eastAsia="方正仿宋简体"/>
      <w:sz w:val="30"/>
      <w:szCs w:val="30"/>
    </w:rPr>
  </w:style>
  <w:style w:type="paragraph" w:styleId="4">
    <w:name w:val="Title"/>
    <w:basedOn w:val="1"/>
    <w:next w:val="1"/>
    <w:qFormat/>
    <w:uiPriority w:val="0"/>
    <w:pPr>
      <w:spacing w:before="240" w:after="60"/>
      <w:jc w:val="center"/>
      <w:outlineLvl w:val="0"/>
    </w:pPr>
    <w:rPr>
      <w:rFonts w:ascii="Cambria" w:hAnsi="Cambria" w:cs="Cambria"/>
      <w:b/>
      <w:bCs/>
      <w:sz w:val="24"/>
      <w:szCs w:val="24"/>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2024-01-18T06:48:00Z</dcterms:created>
  <dc:creator>Administrator</dc:creator>
  <cp:lastModifiedBy>肖圣朋</cp:lastModifiedBy>
  <dcterms:modified xsi:type="dcterms:W3CDTF">2024-03-22T01:47:18Z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09D129FA1D714EE5A16A9DE7E5C9EE26</vt:lpwstr>
  </property>
</Properties>
</file>