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jc w:val="center"/>
        <w:rPr>
          <w:rFonts w:ascii="仿宋" w:hAnsi="仿宋" w:eastAsia="仿宋"/>
          <w:szCs w:val="32"/>
        </w:rPr>
      </w:pPr>
      <w:bookmarkStart w:id="0" w:name="_Toc81302711"/>
      <w:bookmarkStart w:id="1" w:name="_Toc45533238"/>
      <w:bookmarkStart w:id="2" w:name="_Toc303864875"/>
      <w:bookmarkStart w:id="3" w:name="_Toc300678058"/>
      <w:bookmarkStart w:id="4" w:name="_Toc61354161"/>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HGJY-G2024013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340脱管机减速箱采购项目</w:t>
      </w:r>
      <w:r>
        <w:rPr>
          <w:rFonts w:hint="eastAsia" w:ascii="仿宋" w:hAnsi="仿宋" w:eastAsia="仿宋"/>
          <w:sz w:val="28"/>
          <w:szCs w:val="28"/>
        </w:rPr>
        <w:t>项目单位：衡阳华菱连轧管有限公司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eastAsia="zh-CN"/>
        </w:rPr>
        <w:t>脱管机减速箱</w:t>
      </w:r>
      <w:r>
        <w:rPr>
          <w:rFonts w:hint="eastAsia" w:ascii="仿宋" w:hAnsi="仿宋" w:eastAsia="仿宋"/>
          <w:sz w:val="28"/>
          <w:szCs w:val="28"/>
        </w:rPr>
        <w:t>，详见商务标附件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bookmarkStart w:id="7" w:name="_GoBack"/>
      <w:bookmarkEnd w:id="7"/>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交付地点：衡阳华菱连轧管有限公司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color w:val="FF0000"/>
          <w:sz w:val="28"/>
          <w:szCs w:val="28"/>
          <w:u w:val="single"/>
          <w:lang w:val="en-US" w:eastAsia="zh-CN"/>
        </w:rPr>
        <w:t xml:space="preserve"> 3000 </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1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31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 xml:space="preserve">15:00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0677994"/>
      <w:bookmarkStart w:id="6" w:name="_Toc303864862"/>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5E54C5D"/>
    <w:rsid w:val="08AC69EC"/>
    <w:rsid w:val="0CD05ED7"/>
    <w:rsid w:val="0F5D6E03"/>
    <w:rsid w:val="129253C5"/>
    <w:rsid w:val="12BF6B65"/>
    <w:rsid w:val="1441159B"/>
    <w:rsid w:val="1B875D97"/>
    <w:rsid w:val="1C2806F7"/>
    <w:rsid w:val="20A41D13"/>
    <w:rsid w:val="21C9069B"/>
    <w:rsid w:val="2BC246D7"/>
    <w:rsid w:val="2BFD07AA"/>
    <w:rsid w:val="2D9B4947"/>
    <w:rsid w:val="30B5736D"/>
    <w:rsid w:val="34134919"/>
    <w:rsid w:val="36C43945"/>
    <w:rsid w:val="3A475FA9"/>
    <w:rsid w:val="3DBD0ECA"/>
    <w:rsid w:val="43527440"/>
    <w:rsid w:val="45B646E6"/>
    <w:rsid w:val="48FA300D"/>
    <w:rsid w:val="49DA7C87"/>
    <w:rsid w:val="4A6F2340"/>
    <w:rsid w:val="4CD76635"/>
    <w:rsid w:val="4CE808C1"/>
    <w:rsid w:val="4EA11A9A"/>
    <w:rsid w:val="4F8C3D25"/>
    <w:rsid w:val="522E2964"/>
    <w:rsid w:val="5BD770E6"/>
    <w:rsid w:val="5EAD464F"/>
    <w:rsid w:val="60E816D2"/>
    <w:rsid w:val="612B4CFB"/>
    <w:rsid w:val="644A5B2B"/>
    <w:rsid w:val="64D431D3"/>
    <w:rsid w:val="66542D7A"/>
    <w:rsid w:val="68131859"/>
    <w:rsid w:val="6A845681"/>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autoRedefine/>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9349</Words>
  <Characters>2094</Characters>
  <Lines>17</Lines>
  <Paragraphs>22</Paragraphs>
  <TotalTime>0</TotalTime>
  <ScaleCrop>false</ScaleCrop>
  <LinksUpToDate>false</LinksUpToDate>
  <CharactersWithSpaces>11421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2024-01-26T03:07:22Z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9FD26FB7853F46D580D9FD7A946EE9BC_12</vt:lpwstr>
  </property>
</Properties>
</file>