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项目编号：HGCGD22047</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4</w:t>
      </w:r>
      <w:r>
        <w:rPr>
          <w:rFonts w:hint="eastAsia" w:ascii="仿宋" w:hAnsi="仿宋" w:eastAsia="仿宋" w:cs="仿宋"/>
          <w:sz w:val="28"/>
          <w:szCs w:val="28"/>
        </w:rPr>
        <w:t>月仪器仪表采购项目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月至202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月）在华菱三钢有直接业绩；(非衡钢业绩须提供合同复印件)。</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6000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2</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26</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09：30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A0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2022-04-22T08:54:55Z</dcterms:created>
  <dc:creator>admin</dc:creator>
  <cp:lastModifiedBy>admin</cp:lastModifiedBy>
  <dcterms:modified xsi:type="dcterms:W3CDTF">2022-04-22T08:55:38Z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